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394C4" w14:textId="77777777" w:rsidR="00F61C39" w:rsidRDefault="00F61C39">
      <w:pPr>
        <w:spacing w:after="120"/>
        <w:jc w:val="center"/>
        <w:rPr>
          <w:rFonts w:ascii="Arial" w:eastAsia="Arial" w:hAnsi="Arial" w:cs="Arial"/>
          <w:b/>
          <w:bCs/>
          <w:color w:val="4A86E8"/>
          <w:sz w:val="22"/>
          <w:szCs w:val="22"/>
        </w:rPr>
      </w:pPr>
    </w:p>
    <w:p w14:paraId="675B7EB9" w14:textId="3EF704E5" w:rsidR="006B20EC" w:rsidRDefault="00000000">
      <w:pPr>
        <w:spacing w:after="120"/>
        <w:jc w:val="center"/>
      </w:pPr>
      <w:r>
        <w:rPr>
          <w:rFonts w:ascii="Arial" w:eastAsia="Arial" w:hAnsi="Arial" w:cs="Arial"/>
          <w:b/>
          <w:bCs/>
          <w:color w:val="4A86E8"/>
          <w:sz w:val="22"/>
          <w:szCs w:val="22"/>
        </w:rPr>
        <w:t>Risk Assessment Specialist</w:t>
      </w:r>
    </w:p>
    <w:p w14:paraId="3C1963B0" w14:textId="77777777" w:rsidR="006B20EC" w:rsidRDefault="00000000">
      <w:pPr>
        <w:spacing w:before="160"/>
        <w:jc w:val="both"/>
      </w:pPr>
      <w:r>
        <w:rPr>
          <w:rFonts w:ascii="Arial" w:eastAsia="Arial" w:hAnsi="Arial" w:cs="Arial"/>
          <w:b/>
          <w:bCs/>
          <w:color w:val="4A86E8"/>
          <w:sz w:val="22"/>
          <w:szCs w:val="22"/>
        </w:rPr>
        <w:t>Role</w:t>
      </w:r>
    </w:p>
    <w:p w14:paraId="351220AB" w14:textId="77777777" w:rsidR="006B20EC" w:rsidRDefault="00000000">
      <w:pPr>
        <w:spacing w:after="120"/>
        <w:jc w:val="both"/>
      </w:pPr>
      <w:r>
        <w:rPr>
          <w:rFonts w:ascii="Arial" w:eastAsia="Arial" w:hAnsi="Arial" w:cs="Arial"/>
          <w:color w:val="1A1A1A"/>
          <w:sz w:val="22"/>
          <w:szCs w:val="22"/>
        </w:rPr>
        <w:t>Supporting Humanity is a volunteer-led charity dedicated to mental health awareness, providing vital services and initiatives in East London and beyond. As the charity grows in scale, impact, and reach, maintaining a safe, well-governed organisation is essential to sustaining public trust, protecting our volunteers and beneficiaries, and fulfilling our obligations to the Charity Commission and other regulators.</w:t>
      </w:r>
    </w:p>
    <w:p w14:paraId="137C0FC6" w14:textId="77777777" w:rsidR="006B20EC" w:rsidRDefault="00000000">
      <w:pPr>
        <w:spacing w:after="120"/>
        <w:jc w:val="both"/>
      </w:pPr>
      <w:r>
        <w:rPr>
          <w:rFonts w:ascii="Arial" w:eastAsia="Arial" w:hAnsi="Arial" w:cs="Arial"/>
          <w:color w:val="1A1A1A"/>
          <w:sz w:val="22"/>
          <w:szCs w:val="22"/>
        </w:rPr>
        <w:t>The Risk Assessment Specialist will play a central operational role within the Governance, Risk and Compliance (GRC) function, working closely with the Governance Lead to build, embed, and continuously improve a proportionate risk management framework across the charity. This role will ensure that risks to people, data, reputation, finances, and service delivery are identified early, assessed consistently, and mitigated in a way that is practical and proportionate to a growing volunteer-led organisation. This is an excellent opportunity for a detail-oriented, pragmatic individual with experience in risk management, governance, or compliance who wants to make a meaningful contribution to a growing community organisation.</w:t>
      </w:r>
    </w:p>
    <w:p w14:paraId="1975D5A1" w14:textId="77777777" w:rsidR="006B20EC" w:rsidRDefault="00000000">
      <w:pPr>
        <w:spacing w:before="160"/>
        <w:jc w:val="both"/>
      </w:pPr>
      <w:r>
        <w:rPr>
          <w:rFonts w:ascii="Arial" w:eastAsia="Arial" w:hAnsi="Arial" w:cs="Arial"/>
          <w:b/>
          <w:bCs/>
          <w:color w:val="4A86E8"/>
          <w:sz w:val="22"/>
          <w:szCs w:val="22"/>
        </w:rPr>
        <w:t>Reporting line</w:t>
      </w:r>
    </w:p>
    <w:p w14:paraId="58914BE4" w14:textId="77777777" w:rsidR="006B20EC" w:rsidRDefault="00000000">
      <w:pPr>
        <w:spacing w:after="120"/>
        <w:jc w:val="both"/>
      </w:pPr>
      <w:r>
        <w:rPr>
          <w:rFonts w:ascii="Arial" w:eastAsia="Arial" w:hAnsi="Arial" w:cs="Arial"/>
          <w:b/>
          <w:bCs/>
          <w:color w:val="1A1A1A"/>
          <w:sz w:val="22"/>
          <w:szCs w:val="22"/>
        </w:rPr>
        <w:t xml:space="preserve">Reports to: </w:t>
      </w:r>
      <w:r>
        <w:rPr>
          <w:rFonts w:ascii="Arial" w:eastAsia="Arial" w:hAnsi="Arial" w:cs="Arial"/>
          <w:color w:val="1A1A1A"/>
          <w:sz w:val="22"/>
          <w:szCs w:val="22"/>
        </w:rPr>
        <w:t>Governance Lead</w:t>
      </w:r>
    </w:p>
    <w:p w14:paraId="591951D4" w14:textId="77777777" w:rsidR="006B20EC" w:rsidRDefault="00000000">
      <w:pPr>
        <w:spacing w:before="160"/>
        <w:jc w:val="both"/>
      </w:pPr>
      <w:r>
        <w:rPr>
          <w:rFonts w:ascii="Arial" w:eastAsia="Arial" w:hAnsi="Arial" w:cs="Arial"/>
          <w:b/>
          <w:bCs/>
          <w:color w:val="4A86E8"/>
          <w:sz w:val="22"/>
          <w:szCs w:val="22"/>
        </w:rPr>
        <w:t>Key responsibilities</w:t>
      </w:r>
    </w:p>
    <w:p w14:paraId="3B65105A" w14:textId="77777777" w:rsidR="006B20EC" w:rsidRDefault="00000000">
      <w:pPr>
        <w:spacing w:before="120"/>
        <w:jc w:val="both"/>
      </w:pPr>
      <w:r>
        <w:rPr>
          <w:rFonts w:ascii="Arial" w:eastAsia="Arial" w:hAnsi="Arial" w:cs="Arial"/>
          <w:b/>
          <w:bCs/>
          <w:color w:val="4A86E8"/>
          <w:sz w:val="22"/>
          <w:szCs w:val="22"/>
        </w:rPr>
        <w:t>Risk framework design &amp; maintenance</w:t>
      </w:r>
    </w:p>
    <w:p w14:paraId="2F311A79" w14:textId="77777777" w:rsidR="006B20EC" w:rsidRDefault="00000000">
      <w:pPr>
        <w:pStyle w:val="ListParagraph"/>
        <w:numPr>
          <w:ilvl w:val="0"/>
          <w:numId w:val="2"/>
        </w:numPr>
        <w:jc w:val="both"/>
      </w:pPr>
      <w:r>
        <w:rPr>
          <w:rFonts w:ascii="Arial" w:eastAsia="Arial" w:hAnsi="Arial" w:cs="Arial"/>
          <w:color w:val="1A1A1A"/>
          <w:sz w:val="22"/>
          <w:szCs w:val="22"/>
        </w:rPr>
        <w:t>Design, implement, and continuously improve a clear, user-friendly risk management framework suited to a growing volunteer-led charity, ensuring it is proportionate, practical, and accessible to non-specialist volunteers.</w:t>
      </w:r>
    </w:p>
    <w:p w14:paraId="09D15C44" w14:textId="77777777" w:rsidR="006B20EC" w:rsidRDefault="00000000">
      <w:pPr>
        <w:pStyle w:val="ListParagraph"/>
        <w:numPr>
          <w:ilvl w:val="0"/>
          <w:numId w:val="2"/>
        </w:numPr>
        <w:jc w:val="both"/>
      </w:pPr>
      <w:r>
        <w:rPr>
          <w:rFonts w:ascii="Arial" w:eastAsia="Arial" w:hAnsi="Arial" w:cs="Arial"/>
          <w:color w:val="1A1A1A"/>
          <w:sz w:val="22"/>
          <w:szCs w:val="22"/>
        </w:rPr>
        <w:t>Develop and maintain standardised risk assessment templates covering event risks, operational and programme risks, safeguarding risks, financial and funding risks, data and privacy risks, and third-party and partnership risks.</w:t>
      </w:r>
    </w:p>
    <w:p w14:paraId="3FCD5B0B" w14:textId="77777777" w:rsidR="006B20EC" w:rsidRDefault="00000000">
      <w:pPr>
        <w:pStyle w:val="ListParagraph"/>
        <w:numPr>
          <w:ilvl w:val="0"/>
          <w:numId w:val="2"/>
        </w:numPr>
        <w:jc w:val="both"/>
      </w:pPr>
      <w:r>
        <w:rPr>
          <w:rFonts w:ascii="Arial" w:eastAsia="Arial" w:hAnsi="Arial" w:cs="Arial"/>
          <w:color w:val="1A1A1A"/>
          <w:sz w:val="22"/>
          <w:szCs w:val="22"/>
        </w:rPr>
        <w:t>Own and maintain the central Risk Register, ensuring it is kept current at all times with clearly named risk owners, agreed mitigation actions, target dates, and escalation thresholds accurately recorded and reviewed on a quarterly basis.</w:t>
      </w:r>
    </w:p>
    <w:p w14:paraId="442A93A1" w14:textId="77777777" w:rsidR="006B20EC" w:rsidRDefault="00000000">
      <w:pPr>
        <w:pStyle w:val="ListParagraph"/>
        <w:numPr>
          <w:ilvl w:val="0"/>
          <w:numId w:val="2"/>
        </w:numPr>
        <w:jc w:val="both"/>
      </w:pPr>
      <w:r>
        <w:rPr>
          <w:rFonts w:ascii="Arial" w:eastAsia="Arial" w:hAnsi="Arial" w:cs="Arial"/>
          <w:color w:val="1A1A1A"/>
          <w:sz w:val="22"/>
          <w:szCs w:val="22"/>
        </w:rPr>
        <w:t>Establish and maintain an incident and near-miss log, ensuring all incidents are recorded promptly and that the log is used to drive organisational learning and risk register updates.</w:t>
      </w:r>
    </w:p>
    <w:p w14:paraId="306E7123" w14:textId="77777777" w:rsidR="006B20EC" w:rsidRDefault="00000000">
      <w:pPr>
        <w:pStyle w:val="ListParagraph"/>
        <w:numPr>
          <w:ilvl w:val="0"/>
          <w:numId w:val="2"/>
        </w:numPr>
        <w:jc w:val="both"/>
      </w:pPr>
      <w:r>
        <w:rPr>
          <w:rFonts w:ascii="Arial" w:eastAsia="Arial" w:hAnsi="Arial" w:cs="Arial"/>
          <w:color w:val="1A1A1A"/>
          <w:sz w:val="22"/>
          <w:szCs w:val="22"/>
        </w:rPr>
        <w:t>Lead the annual end-to-end risk review process, producing a structured review report for the Governance Lead and Trustees to inform the Charity Commission Annual Return and support Trustee risk appetite discussions.</w:t>
      </w:r>
    </w:p>
    <w:p w14:paraId="17F729E7" w14:textId="77777777" w:rsidR="006B20EC" w:rsidRDefault="00000000">
      <w:pPr>
        <w:pStyle w:val="ListParagraph"/>
        <w:numPr>
          <w:ilvl w:val="0"/>
          <w:numId w:val="2"/>
        </w:numPr>
        <w:spacing w:after="80"/>
        <w:jc w:val="both"/>
      </w:pPr>
      <w:r>
        <w:rPr>
          <w:rFonts w:ascii="Arial" w:eastAsia="Arial" w:hAnsi="Arial" w:cs="Arial"/>
          <w:color w:val="1A1A1A"/>
          <w:sz w:val="22"/>
          <w:szCs w:val="22"/>
        </w:rPr>
        <w:t>Support the maintenance of the GRC Management Framework and associated policies, coordinating document version control, formatting, and storage in the charity's SharePoint policy library.</w:t>
      </w:r>
    </w:p>
    <w:p w14:paraId="000F42C3" w14:textId="77777777" w:rsidR="006B20EC" w:rsidRDefault="00000000">
      <w:pPr>
        <w:spacing w:before="120"/>
        <w:jc w:val="both"/>
      </w:pPr>
      <w:r>
        <w:rPr>
          <w:rFonts w:ascii="Arial" w:eastAsia="Arial" w:hAnsi="Arial" w:cs="Arial"/>
          <w:b/>
          <w:bCs/>
          <w:color w:val="4A86E8"/>
          <w:sz w:val="22"/>
          <w:szCs w:val="22"/>
        </w:rPr>
        <w:t>Department support &amp; risk culture</w:t>
      </w:r>
    </w:p>
    <w:p w14:paraId="6480DD06" w14:textId="77777777" w:rsidR="006B20EC" w:rsidRDefault="00000000">
      <w:pPr>
        <w:pStyle w:val="ListParagraph"/>
        <w:numPr>
          <w:ilvl w:val="0"/>
          <w:numId w:val="2"/>
        </w:numPr>
        <w:jc w:val="both"/>
      </w:pPr>
      <w:r>
        <w:rPr>
          <w:rFonts w:ascii="Arial" w:eastAsia="Arial" w:hAnsi="Arial" w:cs="Arial"/>
          <w:color w:val="1A1A1A"/>
          <w:sz w:val="22"/>
          <w:szCs w:val="22"/>
        </w:rPr>
        <w:t>Act as a trusted, approachable risk adviser to department leads and volunteers across services, fundraising, communications, and operations, providing clear and proportionate guidance rather than blocking activity.</w:t>
      </w:r>
    </w:p>
    <w:p w14:paraId="3EAC1323" w14:textId="77777777" w:rsidR="006B20EC" w:rsidRDefault="00000000">
      <w:pPr>
        <w:pStyle w:val="ListParagraph"/>
        <w:numPr>
          <w:ilvl w:val="0"/>
          <w:numId w:val="2"/>
        </w:numPr>
        <w:jc w:val="both"/>
      </w:pPr>
      <w:r>
        <w:rPr>
          <w:rFonts w:ascii="Arial" w:eastAsia="Arial" w:hAnsi="Arial" w:cs="Arial"/>
          <w:color w:val="1A1A1A"/>
          <w:sz w:val="22"/>
          <w:szCs w:val="22"/>
        </w:rPr>
        <w:t>Review risk assessments for all new programmes, events, fundraising activities, and partnerships before they go live, ensuring that risks are identified, assessed, and mitigated to an appropriate standard.</w:t>
      </w:r>
    </w:p>
    <w:p w14:paraId="6A66F2AA" w14:textId="77777777" w:rsidR="006B20EC" w:rsidRDefault="00000000">
      <w:pPr>
        <w:pStyle w:val="ListParagraph"/>
        <w:numPr>
          <w:ilvl w:val="0"/>
          <w:numId w:val="2"/>
        </w:numPr>
        <w:jc w:val="both"/>
      </w:pPr>
      <w:r>
        <w:rPr>
          <w:rFonts w:ascii="Arial" w:eastAsia="Arial" w:hAnsi="Arial" w:cs="Arial"/>
          <w:color w:val="1A1A1A"/>
          <w:sz w:val="22"/>
          <w:szCs w:val="22"/>
        </w:rPr>
        <w:t>Guide teams to identify practical, realistic mitigation controls that fit their capacity as volunteers, helping them define proportionate actions and avoid overly complex or bureaucratic responses.</w:t>
      </w:r>
    </w:p>
    <w:p w14:paraId="0A785281" w14:textId="77777777" w:rsidR="006B20EC" w:rsidRDefault="00000000">
      <w:pPr>
        <w:pStyle w:val="ListParagraph"/>
        <w:numPr>
          <w:ilvl w:val="0"/>
          <w:numId w:val="2"/>
        </w:numPr>
        <w:jc w:val="both"/>
      </w:pPr>
      <w:r>
        <w:rPr>
          <w:rFonts w:ascii="Arial" w:eastAsia="Arial" w:hAnsi="Arial" w:cs="Arial"/>
          <w:color w:val="1A1A1A"/>
          <w:sz w:val="22"/>
          <w:szCs w:val="22"/>
        </w:rPr>
        <w:t>Support post-event and post-project reviews to systematically capture lessons learned, update the risk register and relevant templates, and ensure that improvements are tracked through to implementation.</w:t>
      </w:r>
    </w:p>
    <w:p w14:paraId="4501E42C" w14:textId="77777777" w:rsidR="006B20EC" w:rsidRDefault="00000000">
      <w:pPr>
        <w:pStyle w:val="ListParagraph"/>
        <w:numPr>
          <w:ilvl w:val="0"/>
          <w:numId w:val="2"/>
        </w:numPr>
        <w:spacing w:after="80"/>
        <w:jc w:val="both"/>
      </w:pPr>
      <w:r>
        <w:rPr>
          <w:rFonts w:ascii="Arial" w:eastAsia="Arial" w:hAnsi="Arial" w:cs="Arial"/>
          <w:color w:val="1A1A1A"/>
          <w:sz w:val="22"/>
          <w:szCs w:val="22"/>
        </w:rPr>
        <w:t>Deliver short, accessible risk awareness briefings and guidance notes for volunteers and department leads as needed, building risk literacy and a proactive risk culture across the organisation.</w:t>
      </w:r>
    </w:p>
    <w:p w14:paraId="0E2F2A2A" w14:textId="77777777" w:rsidR="00F61C39" w:rsidRDefault="00F61C39">
      <w:pPr>
        <w:spacing w:before="120"/>
        <w:jc w:val="both"/>
        <w:rPr>
          <w:rFonts w:ascii="Arial" w:eastAsia="Arial" w:hAnsi="Arial" w:cs="Arial"/>
          <w:b/>
          <w:bCs/>
          <w:color w:val="4A86E8"/>
          <w:sz w:val="22"/>
          <w:szCs w:val="22"/>
        </w:rPr>
      </w:pPr>
    </w:p>
    <w:p w14:paraId="749B467F" w14:textId="0579012F" w:rsidR="006B20EC" w:rsidRDefault="00000000">
      <w:pPr>
        <w:spacing w:before="120"/>
        <w:jc w:val="both"/>
      </w:pPr>
      <w:r>
        <w:rPr>
          <w:rFonts w:ascii="Arial" w:eastAsia="Arial" w:hAnsi="Arial" w:cs="Arial"/>
          <w:b/>
          <w:bCs/>
          <w:color w:val="4A86E8"/>
          <w:sz w:val="22"/>
          <w:szCs w:val="22"/>
        </w:rPr>
        <w:t>Monitoring &amp; reporting</w:t>
      </w:r>
    </w:p>
    <w:p w14:paraId="03EC602A" w14:textId="77777777" w:rsidR="006B20EC" w:rsidRDefault="00000000">
      <w:pPr>
        <w:pStyle w:val="ListParagraph"/>
        <w:numPr>
          <w:ilvl w:val="0"/>
          <w:numId w:val="2"/>
        </w:numPr>
        <w:jc w:val="both"/>
      </w:pPr>
      <w:r>
        <w:rPr>
          <w:rFonts w:ascii="Arial" w:eastAsia="Arial" w:hAnsi="Arial" w:cs="Arial"/>
          <w:color w:val="1A1A1A"/>
          <w:sz w:val="22"/>
          <w:szCs w:val="22"/>
        </w:rPr>
        <w:t>Actively track the status of all mitigation actions across the Risk Register, following up with named risk owners, escalating overdue or deteriorating risks promptly to the Governance Lead.</w:t>
      </w:r>
    </w:p>
    <w:p w14:paraId="1E31DFA3" w14:textId="77777777" w:rsidR="006B20EC" w:rsidRDefault="00000000">
      <w:pPr>
        <w:pStyle w:val="ListParagraph"/>
        <w:numPr>
          <w:ilvl w:val="0"/>
          <w:numId w:val="2"/>
        </w:numPr>
        <w:jc w:val="both"/>
      </w:pPr>
      <w:r>
        <w:rPr>
          <w:rFonts w:ascii="Arial" w:eastAsia="Arial" w:hAnsi="Arial" w:cs="Arial"/>
          <w:color w:val="1A1A1A"/>
          <w:sz w:val="22"/>
          <w:szCs w:val="22"/>
        </w:rPr>
        <w:t>Produce concise, decision-focused monthly and quarterly risk update reports for the Governance Lead, senior leadership, and Trustees, covering the top risks and their current status, trend changes, emerging risks, and specific decisions required.</w:t>
      </w:r>
    </w:p>
    <w:p w14:paraId="7A5D226A" w14:textId="77777777" w:rsidR="006B20EC" w:rsidRDefault="00000000">
      <w:pPr>
        <w:pStyle w:val="ListParagraph"/>
        <w:numPr>
          <w:ilvl w:val="0"/>
          <w:numId w:val="2"/>
        </w:numPr>
        <w:jc w:val="both"/>
      </w:pPr>
      <w:r>
        <w:rPr>
          <w:rFonts w:ascii="Arial" w:eastAsia="Arial" w:hAnsi="Arial" w:cs="Arial"/>
          <w:color w:val="1A1A1A"/>
          <w:sz w:val="22"/>
          <w:szCs w:val="22"/>
        </w:rPr>
        <w:t>Monitor the external environment on an ongoing basis for emerging risks relevant to the charity, including changes to Charity Commission guidance, shifts in mental health funding, data protection obligations, reputational risks, and volunteer capacity pressures.</w:t>
      </w:r>
    </w:p>
    <w:p w14:paraId="61FE312B" w14:textId="77777777" w:rsidR="006B20EC" w:rsidRDefault="00000000">
      <w:pPr>
        <w:pStyle w:val="ListParagraph"/>
        <w:numPr>
          <w:ilvl w:val="0"/>
          <w:numId w:val="2"/>
        </w:numPr>
        <w:jc w:val="both"/>
      </w:pPr>
      <w:r>
        <w:rPr>
          <w:rFonts w:ascii="Arial" w:eastAsia="Arial" w:hAnsi="Arial" w:cs="Arial"/>
          <w:color w:val="1A1A1A"/>
          <w:sz w:val="22"/>
          <w:szCs w:val="22"/>
        </w:rPr>
        <w:t>Track KPI performance against the risk management targets set within the GRC Management Framework and produce accurate KPI summaries for quarterly Trustee reporting.</w:t>
      </w:r>
    </w:p>
    <w:p w14:paraId="6FB137C7" w14:textId="77777777" w:rsidR="006B20EC" w:rsidRDefault="00000000">
      <w:pPr>
        <w:pStyle w:val="ListParagraph"/>
        <w:numPr>
          <w:ilvl w:val="0"/>
          <w:numId w:val="2"/>
        </w:numPr>
        <w:spacing w:after="80"/>
        <w:jc w:val="both"/>
      </w:pPr>
      <w:r>
        <w:rPr>
          <w:rFonts w:ascii="Arial" w:eastAsia="Arial" w:hAnsi="Arial" w:cs="Arial"/>
          <w:color w:val="1A1A1A"/>
          <w:sz w:val="22"/>
          <w:szCs w:val="22"/>
        </w:rPr>
        <w:t>Support the Governance Lead in preparing risk-related materials for Trustee Board meetings, including risk appetite statements, top risk summaries, and risk trend analysis.</w:t>
      </w:r>
    </w:p>
    <w:p w14:paraId="7CB5C27A" w14:textId="77777777" w:rsidR="006B20EC" w:rsidRDefault="00000000">
      <w:pPr>
        <w:spacing w:before="120"/>
        <w:jc w:val="both"/>
      </w:pPr>
      <w:r>
        <w:rPr>
          <w:rFonts w:ascii="Arial" w:eastAsia="Arial" w:hAnsi="Arial" w:cs="Arial"/>
          <w:b/>
          <w:bCs/>
          <w:color w:val="4A86E8"/>
          <w:sz w:val="22"/>
          <w:szCs w:val="22"/>
        </w:rPr>
        <w:t>Compliance monitoring &amp; incident support</w:t>
      </w:r>
    </w:p>
    <w:p w14:paraId="63F2C5D1" w14:textId="77777777" w:rsidR="006B20EC" w:rsidRDefault="00000000">
      <w:pPr>
        <w:pStyle w:val="ListParagraph"/>
        <w:numPr>
          <w:ilvl w:val="0"/>
          <w:numId w:val="2"/>
        </w:numPr>
        <w:jc w:val="both"/>
      </w:pPr>
      <w:r>
        <w:rPr>
          <w:rFonts w:ascii="Arial" w:eastAsia="Arial" w:hAnsi="Arial" w:cs="Arial"/>
          <w:color w:val="1A1A1A"/>
          <w:sz w:val="22"/>
          <w:szCs w:val="22"/>
        </w:rPr>
        <w:t>Support the Governance Lead in triaging risk and compliance incidents, gathering initial facts, categorising incidents using the charity's incident framework, and tracking actions through to closure.</w:t>
      </w:r>
    </w:p>
    <w:p w14:paraId="739BDABC" w14:textId="77777777" w:rsidR="006B20EC" w:rsidRDefault="00000000">
      <w:pPr>
        <w:pStyle w:val="ListParagraph"/>
        <w:numPr>
          <w:ilvl w:val="0"/>
          <w:numId w:val="2"/>
        </w:numPr>
        <w:jc w:val="both"/>
      </w:pPr>
      <w:r>
        <w:rPr>
          <w:rFonts w:ascii="Arial" w:eastAsia="Arial" w:hAnsi="Arial" w:cs="Arial"/>
          <w:color w:val="1A1A1A"/>
          <w:sz w:val="22"/>
          <w:szCs w:val="22"/>
        </w:rPr>
        <w:t>Maintain accurate and up-to-date incident and near-miss records, ensuring all incidents are logged within 24 hours of detection and that closure documentation is complete and accessible.</w:t>
      </w:r>
    </w:p>
    <w:p w14:paraId="3D234925" w14:textId="77777777" w:rsidR="006B20EC" w:rsidRDefault="00000000">
      <w:pPr>
        <w:pStyle w:val="ListParagraph"/>
        <w:numPr>
          <w:ilvl w:val="0"/>
          <w:numId w:val="2"/>
        </w:numPr>
        <w:jc w:val="both"/>
      </w:pPr>
      <w:r>
        <w:rPr>
          <w:rFonts w:ascii="Arial" w:eastAsia="Arial" w:hAnsi="Arial" w:cs="Arial"/>
          <w:color w:val="1A1A1A"/>
          <w:sz w:val="22"/>
          <w:szCs w:val="22"/>
        </w:rPr>
        <w:t>Assist with the preparation of post-incident lessons learned summaries and track the implementation of recommended improvements through the risk register.</w:t>
      </w:r>
    </w:p>
    <w:p w14:paraId="0DB9EB2F" w14:textId="77777777" w:rsidR="006B20EC" w:rsidRDefault="00000000">
      <w:pPr>
        <w:pStyle w:val="ListParagraph"/>
        <w:numPr>
          <w:ilvl w:val="0"/>
          <w:numId w:val="2"/>
        </w:numPr>
        <w:spacing w:after="80"/>
        <w:jc w:val="both"/>
      </w:pPr>
      <w:r>
        <w:rPr>
          <w:rFonts w:ascii="Arial" w:eastAsia="Arial" w:hAnsi="Arial" w:cs="Arial"/>
          <w:color w:val="1A1A1A"/>
          <w:sz w:val="22"/>
          <w:szCs w:val="22"/>
        </w:rPr>
        <w:t>Support departmental spot checks and thematic risk reviews by coordinating schedules, gathering documentary evidence, and compiling findings for the Governance Lead.</w:t>
      </w:r>
    </w:p>
    <w:p w14:paraId="30801C47" w14:textId="77777777" w:rsidR="006B20EC" w:rsidRDefault="00000000">
      <w:pPr>
        <w:spacing w:before="120"/>
        <w:jc w:val="both"/>
      </w:pPr>
      <w:r>
        <w:rPr>
          <w:rFonts w:ascii="Arial" w:eastAsia="Arial" w:hAnsi="Arial" w:cs="Arial"/>
          <w:b/>
          <w:bCs/>
          <w:color w:val="4A86E8"/>
          <w:sz w:val="22"/>
          <w:szCs w:val="22"/>
        </w:rPr>
        <w:t>Policy &amp; procedure administration</w:t>
      </w:r>
    </w:p>
    <w:p w14:paraId="3DC99E18" w14:textId="77777777" w:rsidR="006B20EC" w:rsidRDefault="00000000">
      <w:pPr>
        <w:pStyle w:val="ListParagraph"/>
        <w:numPr>
          <w:ilvl w:val="0"/>
          <w:numId w:val="2"/>
        </w:numPr>
        <w:jc w:val="both"/>
      </w:pPr>
      <w:r>
        <w:rPr>
          <w:rFonts w:ascii="Arial" w:eastAsia="Arial" w:hAnsi="Arial" w:cs="Arial"/>
          <w:color w:val="1A1A1A"/>
          <w:sz w:val="22"/>
          <w:szCs w:val="22"/>
        </w:rPr>
        <w:t>Coordinate the review cycle for all GRC-related risk policies and procedures, ensuring that review dates are tracked, review processes are initiated on time, and updated documents are correctly version-controlled and stored in SharePoint.</w:t>
      </w:r>
    </w:p>
    <w:p w14:paraId="7AC2D170" w14:textId="77777777" w:rsidR="006B20EC" w:rsidRDefault="00000000">
      <w:pPr>
        <w:pStyle w:val="ListParagraph"/>
        <w:numPr>
          <w:ilvl w:val="0"/>
          <w:numId w:val="2"/>
        </w:numPr>
        <w:jc w:val="both"/>
      </w:pPr>
      <w:r>
        <w:rPr>
          <w:rFonts w:ascii="Arial" w:eastAsia="Arial" w:hAnsi="Arial" w:cs="Arial"/>
          <w:color w:val="1A1A1A"/>
          <w:sz w:val="22"/>
          <w:szCs w:val="22"/>
        </w:rPr>
        <w:t>Assist with drafting and formatting risk policies, procedures, and guidance documents under the direction of the Governance Lead, ensuring documents are written in plain English and are accessible to non-specialist volunteers.</w:t>
      </w:r>
    </w:p>
    <w:p w14:paraId="1EE9A3E9" w14:textId="77777777" w:rsidR="006B20EC" w:rsidRDefault="00000000">
      <w:pPr>
        <w:pStyle w:val="ListParagraph"/>
        <w:numPr>
          <w:ilvl w:val="0"/>
          <w:numId w:val="2"/>
        </w:numPr>
        <w:jc w:val="both"/>
      </w:pPr>
      <w:r>
        <w:rPr>
          <w:rFonts w:ascii="Arial" w:eastAsia="Arial" w:hAnsi="Arial" w:cs="Arial"/>
          <w:color w:val="1A1A1A"/>
          <w:sz w:val="22"/>
          <w:szCs w:val="22"/>
        </w:rPr>
        <w:t>Prepare short risk guidance notes, practical tip sheets, and briefing documents for volunteers and department leads on key topics such as event risk management, incident reporting, safeguarding risk, and data handling.</w:t>
      </w:r>
    </w:p>
    <w:p w14:paraId="0441DC9E" w14:textId="77777777" w:rsidR="006B20EC" w:rsidRDefault="00000000">
      <w:pPr>
        <w:pStyle w:val="ListParagraph"/>
        <w:numPr>
          <w:ilvl w:val="0"/>
          <w:numId w:val="2"/>
        </w:numPr>
        <w:spacing w:after="80"/>
        <w:jc w:val="both"/>
      </w:pPr>
      <w:r>
        <w:rPr>
          <w:rFonts w:ascii="Arial" w:eastAsia="Arial" w:hAnsi="Arial" w:cs="Arial"/>
          <w:color w:val="1A1A1A"/>
          <w:sz w:val="22"/>
          <w:szCs w:val="22"/>
        </w:rPr>
        <w:t>Support the maintenance of third-party risk records and supplier due diligence documentation, flagging agreements due for renewal and assisting with the coordination of reviews.</w:t>
      </w:r>
    </w:p>
    <w:p w14:paraId="6DB94B00" w14:textId="77777777" w:rsidR="006B20EC" w:rsidRDefault="00000000">
      <w:pPr>
        <w:spacing w:before="160"/>
        <w:jc w:val="both"/>
      </w:pPr>
      <w:r>
        <w:rPr>
          <w:rFonts w:ascii="Arial" w:eastAsia="Arial" w:hAnsi="Arial" w:cs="Arial"/>
          <w:b/>
          <w:bCs/>
          <w:color w:val="4A86E8"/>
          <w:sz w:val="22"/>
          <w:szCs w:val="22"/>
        </w:rPr>
        <w:t>Skills and experience</w:t>
      </w:r>
    </w:p>
    <w:p w14:paraId="787F2247" w14:textId="77777777" w:rsidR="006B20EC" w:rsidRDefault="00000000">
      <w:pPr>
        <w:spacing w:before="120"/>
        <w:jc w:val="both"/>
      </w:pPr>
      <w:r>
        <w:rPr>
          <w:rFonts w:ascii="Arial" w:eastAsia="Arial" w:hAnsi="Arial" w:cs="Arial"/>
          <w:b/>
          <w:bCs/>
          <w:color w:val="4A86E8"/>
          <w:sz w:val="22"/>
          <w:szCs w:val="22"/>
        </w:rPr>
        <w:t>Essential</w:t>
      </w:r>
    </w:p>
    <w:p w14:paraId="4052F18F" w14:textId="77777777" w:rsidR="006B20EC" w:rsidRDefault="00000000">
      <w:pPr>
        <w:pStyle w:val="ListParagraph"/>
        <w:numPr>
          <w:ilvl w:val="0"/>
          <w:numId w:val="2"/>
        </w:numPr>
        <w:jc w:val="both"/>
      </w:pPr>
      <w:r>
        <w:rPr>
          <w:rFonts w:ascii="Arial" w:eastAsia="Arial" w:hAnsi="Arial" w:cs="Arial"/>
          <w:color w:val="1A1A1A"/>
          <w:sz w:val="22"/>
          <w:szCs w:val="22"/>
        </w:rPr>
        <w:t>Experience running or meaningfully contributing to risk assessments or risk registers in any sector — charity, public sector, financial services, health, or corporate.</w:t>
      </w:r>
    </w:p>
    <w:p w14:paraId="4909C6DA" w14:textId="77777777" w:rsidR="006B20EC" w:rsidRDefault="00000000">
      <w:pPr>
        <w:pStyle w:val="ListParagraph"/>
        <w:numPr>
          <w:ilvl w:val="0"/>
          <w:numId w:val="2"/>
        </w:numPr>
        <w:jc w:val="both"/>
      </w:pPr>
      <w:r>
        <w:rPr>
          <w:rFonts w:ascii="Arial" w:eastAsia="Arial" w:hAnsi="Arial" w:cs="Arial"/>
          <w:color w:val="1A1A1A"/>
          <w:sz w:val="22"/>
          <w:szCs w:val="22"/>
        </w:rPr>
        <w:t>Ability to translate complex risk concepts into clear, jargon-free language and practical actions that non-specialist volunteers can understand and act on confidently.</w:t>
      </w:r>
    </w:p>
    <w:p w14:paraId="171E731D" w14:textId="77777777" w:rsidR="006B20EC" w:rsidRDefault="00000000">
      <w:pPr>
        <w:pStyle w:val="ListParagraph"/>
        <w:numPr>
          <w:ilvl w:val="0"/>
          <w:numId w:val="2"/>
        </w:numPr>
        <w:jc w:val="both"/>
      </w:pPr>
      <w:r>
        <w:rPr>
          <w:rFonts w:ascii="Arial" w:eastAsia="Arial" w:hAnsi="Arial" w:cs="Arial"/>
          <w:color w:val="1A1A1A"/>
          <w:sz w:val="22"/>
          <w:szCs w:val="22"/>
        </w:rPr>
        <w:t>Excellent organisational skills with a systematic approach — comfortable managing a live risk register, tracking multiple actions simultaneously, and maintaining version control across documents.</w:t>
      </w:r>
    </w:p>
    <w:p w14:paraId="0632D1D1" w14:textId="77777777" w:rsidR="006B20EC" w:rsidRDefault="00000000">
      <w:pPr>
        <w:pStyle w:val="ListParagraph"/>
        <w:numPr>
          <w:ilvl w:val="0"/>
          <w:numId w:val="2"/>
        </w:numPr>
        <w:jc w:val="both"/>
      </w:pPr>
      <w:r>
        <w:rPr>
          <w:rFonts w:ascii="Arial" w:eastAsia="Arial" w:hAnsi="Arial" w:cs="Arial"/>
          <w:color w:val="1A1A1A"/>
          <w:sz w:val="22"/>
          <w:szCs w:val="22"/>
        </w:rPr>
        <w:t>Sound professional judgement — the ability to calibrate risk proportionately and pragmatically, avoiding excessive caution or overly complex controls.</w:t>
      </w:r>
    </w:p>
    <w:p w14:paraId="66A7EDD4" w14:textId="77777777" w:rsidR="006B20EC" w:rsidRDefault="00000000">
      <w:pPr>
        <w:pStyle w:val="ListParagraph"/>
        <w:numPr>
          <w:ilvl w:val="0"/>
          <w:numId w:val="2"/>
        </w:numPr>
        <w:jc w:val="both"/>
      </w:pPr>
      <w:r>
        <w:rPr>
          <w:rFonts w:ascii="Arial" w:eastAsia="Arial" w:hAnsi="Arial" w:cs="Arial"/>
          <w:color w:val="1A1A1A"/>
          <w:sz w:val="22"/>
          <w:szCs w:val="22"/>
        </w:rPr>
        <w:t>Strong written communication skills, with the ability to produce clear, well-structured reports, guidance documents, and risk summaries for a range of audiences.</w:t>
      </w:r>
    </w:p>
    <w:p w14:paraId="535BD2FA" w14:textId="77777777" w:rsidR="006B20EC" w:rsidRDefault="00000000">
      <w:pPr>
        <w:pStyle w:val="ListParagraph"/>
        <w:numPr>
          <w:ilvl w:val="0"/>
          <w:numId w:val="2"/>
        </w:numPr>
        <w:jc w:val="both"/>
      </w:pPr>
      <w:r>
        <w:rPr>
          <w:rFonts w:ascii="Arial" w:eastAsia="Arial" w:hAnsi="Arial" w:cs="Arial"/>
          <w:color w:val="1A1A1A"/>
          <w:sz w:val="22"/>
          <w:szCs w:val="22"/>
        </w:rPr>
        <w:t>Confident user of Microsoft 365 tools, particularly Excel or Google Sheets for risk logs and tracking, and SharePoint or Microsoft Teams for document management and collaboration.</w:t>
      </w:r>
    </w:p>
    <w:p w14:paraId="04B9AF6B" w14:textId="77777777" w:rsidR="006B20EC" w:rsidRDefault="00000000">
      <w:pPr>
        <w:pStyle w:val="ListParagraph"/>
        <w:numPr>
          <w:ilvl w:val="0"/>
          <w:numId w:val="2"/>
        </w:numPr>
        <w:spacing w:after="80"/>
        <w:jc w:val="both"/>
      </w:pPr>
      <w:r>
        <w:rPr>
          <w:rFonts w:ascii="Arial" w:eastAsia="Arial" w:hAnsi="Arial" w:cs="Arial"/>
          <w:color w:val="1A1A1A"/>
          <w:sz w:val="22"/>
          <w:szCs w:val="22"/>
        </w:rPr>
        <w:t>A collaborative, proactive approach and genuine commitment to the values and mission of Supporting Humanity Charity.</w:t>
      </w:r>
    </w:p>
    <w:p w14:paraId="0EFDF043" w14:textId="77777777" w:rsidR="00F61C39" w:rsidRDefault="00F61C39">
      <w:pPr>
        <w:spacing w:before="120"/>
        <w:jc w:val="both"/>
        <w:rPr>
          <w:rFonts w:ascii="Arial" w:eastAsia="Arial" w:hAnsi="Arial" w:cs="Arial"/>
          <w:b/>
          <w:bCs/>
          <w:color w:val="4A86E8"/>
          <w:sz w:val="22"/>
          <w:szCs w:val="22"/>
        </w:rPr>
      </w:pPr>
    </w:p>
    <w:p w14:paraId="628B533E" w14:textId="427148AD" w:rsidR="006B20EC" w:rsidRDefault="00000000">
      <w:pPr>
        <w:spacing w:before="120"/>
        <w:jc w:val="both"/>
      </w:pPr>
      <w:r>
        <w:rPr>
          <w:rFonts w:ascii="Arial" w:eastAsia="Arial" w:hAnsi="Arial" w:cs="Arial"/>
          <w:b/>
          <w:bCs/>
          <w:color w:val="4A86E8"/>
          <w:sz w:val="22"/>
          <w:szCs w:val="22"/>
        </w:rPr>
        <w:t>Desirable</w:t>
      </w:r>
    </w:p>
    <w:p w14:paraId="16055448" w14:textId="77777777" w:rsidR="006B20EC" w:rsidRDefault="00000000">
      <w:pPr>
        <w:pStyle w:val="ListParagraph"/>
        <w:numPr>
          <w:ilvl w:val="0"/>
          <w:numId w:val="2"/>
        </w:numPr>
        <w:jc w:val="both"/>
      </w:pPr>
      <w:r>
        <w:rPr>
          <w:rFonts w:ascii="Arial" w:eastAsia="Arial" w:hAnsi="Arial" w:cs="Arial"/>
          <w:color w:val="1A1A1A"/>
          <w:sz w:val="22"/>
          <w:szCs w:val="22"/>
        </w:rPr>
        <w:t>Understanding of charity governance, Charity Commission guidance, and Trustee responsibilities in relation to risk management.</w:t>
      </w:r>
    </w:p>
    <w:p w14:paraId="657F1111" w14:textId="77777777" w:rsidR="006B20EC" w:rsidRDefault="00000000">
      <w:pPr>
        <w:pStyle w:val="ListParagraph"/>
        <w:numPr>
          <w:ilvl w:val="0"/>
          <w:numId w:val="2"/>
        </w:numPr>
        <w:jc w:val="both"/>
      </w:pPr>
      <w:r>
        <w:rPr>
          <w:rFonts w:ascii="Arial" w:eastAsia="Arial" w:hAnsi="Arial" w:cs="Arial"/>
          <w:color w:val="1A1A1A"/>
          <w:sz w:val="22"/>
          <w:szCs w:val="22"/>
        </w:rPr>
        <w:t>Familiarity with established risk frameworks such as RCSA (Risk and Control Self-Assessment), operational risk management, safeguarding risk assessment, or project risk management.</w:t>
      </w:r>
    </w:p>
    <w:p w14:paraId="56BE9AE2" w14:textId="77777777" w:rsidR="006B20EC" w:rsidRDefault="00000000">
      <w:pPr>
        <w:pStyle w:val="ListParagraph"/>
        <w:numPr>
          <w:ilvl w:val="0"/>
          <w:numId w:val="2"/>
        </w:numPr>
        <w:jc w:val="both"/>
      </w:pPr>
      <w:r>
        <w:rPr>
          <w:rFonts w:ascii="Arial" w:eastAsia="Arial" w:hAnsi="Arial" w:cs="Arial"/>
          <w:color w:val="1A1A1A"/>
          <w:sz w:val="22"/>
          <w:szCs w:val="22"/>
        </w:rPr>
        <w:t>Experience producing risk reports, risk appetite statements, or management information for senior stakeholders, Boards, or audit committees.</w:t>
      </w:r>
    </w:p>
    <w:p w14:paraId="6948A48B" w14:textId="77777777" w:rsidR="006B20EC" w:rsidRDefault="00000000">
      <w:pPr>
        <w:pStyle w:val="ListParagraph"/>
        <w:numPr>
          <w:ilvl w:val="0"/>
          <w:numId w:val="2"/>
        </w:numPr>
        <w:jc w:val="both"/>
      </w:pPr>
      <w:r>
        <w:rPr>
          <w:rFonts w:ascii="Arial" w:eastAsia="Arial" w:hAnsi="Arial" w:cs="Arial"/>
          <w:color w:val="1A1A1A"/>
          <w:sz w:val="22"/>
          <w:szCs w:val="22"/>
        </w:rPr>
        <w:t>Experience working with or within the voluntary, community, or social enterprise (VCSE) sector, or in a charity, health, mental health, or community-based organisation.</w:t>
      </w:r>
    </w:p>
    <w:p w14:paraId="22DD5D89" w14:textId="77777777" w:rsidR="006B20EC" w:rsidRDefault="00000000">
      <w:pPr>
        <w:pStyle w:val="ListParagraph"/>
        <w:numPr>
          <w:ilvl w:val="0"/>
          <w:numId w:val="2"/>
        </w:numPr>
        <w:spacing w:after="80"/>
        <w:jc w:val="both"/>
      </w:pPr>
      <w:r>
        <w:rPr>
          <w:rFonts w:ascii="Arial" w:eastAsia="Arial" w:hAnsi="Arial" w:cs="Arial"/>
          <w:color w:val="1A1A1A"/>
          <w:sz w:val="22"/>
          <w:szCs w:val="22"/>
        </w:rPr>
        <w:t>Awareness of the specific risks facing mental health charities, including safeguarding, data privacy (UK GDPR), funding dependency, reputational risk, and volunteer capacity management. Any relevant training or certification in risk management, compliance, or charity governance is helpful but not required.</w:t>
      </w:r>
    </w:p>
    <w:p w14:paraId="215A1FF9" w14:textId="77777777" w:rsidR="006B20EC" w:rsidRDefault="00000000">
      <w:pPr>
        <w:spacing w:before="160"/>
        <w:jc w:val="both"/>
      </w:pPr>
      <w:r>
        <w:rPr>
          <w:rFonts w:ascii="Arial" w:eastAsia="Arial" w:hAnsi="Arial" w:cs="Arial"/>
          <w:b/>
          <w:bCs/>
          <w:color w:val="4A86E8"/>
          <w:sz w:val="22"/>
          <w:szCs w:val="22"/>
        </w:rPr>
        <w:t>Time commitment &amp; location</w:t>
      </w:r>
    </w:p>
    <w:p w14:paraId="198946B6" w14:textId="77777777" w:rsidR="006B20EC" w:rsidRDefault="00000000">
      <w:pPr>
        <w:pStyle w:val="ListParagraph"/>
        <w:numPr>
          <w:ilvl w:val="0"/>
          <w:numId w:val="2"/>
        </w:numPr>
        <w:jc w:val="both"/>
      </w:pPr>
      <w:r>
        <w:rPr>
          <w:rFonts w:ascii="Arial" w:eastAsia="Arial" w:hAnsi="Arial" w:cs="Arial"/>
          <w:color w:val="1A1A1A"/>
          <w:sz w:val="22"/>
          <w:szCs w:val="22"/>
        </w:rPr>
        <w:t>Hybrid: mainly remote with occasional meetings in person (Ilford, IG6).</w:t>
      </w:r>
    </w:p>
    <w:p w14:paraId="426A70E2" w14:textId="77777777" w:rsidR="006B20EC" w:rsidRDefault="00000000">
      <w:pPr>
        <w:pStyle w:val="ListParagraph"/>
        <w:numPr>
          <w:ilvl w:val="0"/>
          <w:numId w:val="2"/>
        </w:numPr>
        <w:spacing w:after="80"/>
        <w:jc w:val="both"/>
      </w:pPr>
      <w:r>
        <w:rPr>
          <w:rFonts w:ascii="Arial" w:eastAsia="Arial" w:hAnsi="Arial" w:cs="Arial"/>
          <w:color w:val="1A1A1A"/>
          <w:sz w:val="22"/>
          <w:szCs w:val="22"/>
        </w:rPr>
        <w:t>3–6 hours per week on average, flexible around your schedule.</w:t>
      </w:r>
    </w:p>
    <w:p w14:paraId="087973DC" w14:textId="77777777" w:rsidR="006B20EC" w:rsidRDefault="00000000">
      <w:pPr>
        <w:spacing w:before="160"/>
        <w:jc w:val="both"/>
      </w:pPr>
      <w:r>
        <w:rPr>
          <w:rFonts w:ascii="Arial" w:eastAsia="Arial" w:hAnsi="Arial" w:cs="Arial"/>
          <w:b/>
          <w:bCs/>
          <w:color w:val="4A86E8"/>
          <w:sz w:val="22"/>
          <w:szCs w:val="22"/>
        </w:rPr>
        <w:t>What you'll gain</w:t>
      </w:r>
    </w:p>
    <w:p w14:paraId="365E65A9" w14:textId="77777777" w:rsidR="006B20EC" w:rsidRDefault="00000000">
      <w:pPr>
        <w:pStyle w:val="ListParagraph"/>
        <w:numPr>
          <w:ilvl w:val="0"/>
          <w:numId w:val="2"/>
        </w:numPr>
        <w:jc w:val="both"/>
      </w:pPr>
      <w:r>
        <w:rPr>
          <w:rFonts w:ascii="Arial" w:eastAsia="Arial" w:hAnsi="Arial" w:cs="Arial"/>
          <w:color w:val="1A1A1A"/>
          <w:sz w:val="22"/>
          <w:szCs w:val="22"/>
        </w:rPr>
        <w:t>A meaningful leadership role at the heart of the charity's governance and risk function, with real, visible impact on how the organisation operates and keeps its people safe.</w:t>
      </w:r>
    </w:p>
    <w:p w14:paraId="5E6EDAB6" w14:textId="77777777" w:rsidR="006B20EC" w:rsidRDefault="00000000">
      <w:pPr>
        <w:pStyle w:val="ListParagraph"/>
        <w:numPr>
          <w:ilvl w:val="0"/>
          <w:numId w:val="2"/>
        </w:numPr>
        <w:jc w:val="both"/>
      </w:pPr>
      <w:r>
        <w:rPr>
          <w:rFonts w:ascii="Arial" w:eastAsia="Arial" w:hAnsi="Arial" w:cs="Arial"/>
          <w:color w:val="1A1A1A"/>
          <w:sz w:val="22"/>
          <w:szCs w:val="22"/>
        </w:rPr>
        <w:t>Hands-on experience across risk management disciplines including framework design, risk assessment, incident management, monitoring and reporting, and Trustee-level risk communication.</w:t>
      </w:r>
    </w:p>
    <w:p w14:paraId="5DC95B8C" w14:textId="77777777" w:rsidR="006B20EC" w:rsidRDefault="00000000">
      <w:pPr>
        <w:pStyle w:val="ListParagraph"/>
        <w:numPr>
          <w:ilvl w:val="0"/>
          <w:numId w:val="2"/>
        </w:numPr>
        <w:jc w:val="both"/>
      </w:pPr>
      <w:r>
        <w:rPr>
          <w:rFonts w:ascii="Arial" w:eastAsia="Arial" w:hAnsi="Arial" w:cs="Arial"/>
          <w:color w:val="1A1A1A"/>
          <w:sz w:val="22"/>
          <w:szCs w:val="22"/>
        </w:rPr>
        <w:t>The opportunity to develop professionally within a growing, community-centred charity committed to mental health awareness and wellbeing in East London and beyond.</w:t>
      </w:r>
    </w:p>
    <w:p w14:paraId="10C9E520" w14:textId="77777777" w:rsidR="006B20EC" w:rsidRDefault="00000000">
      <w:pPr>
        <w:pStyle w:val="ListParagraph"/>
        <w:numPr>
          <w:ilvl w:val="0"/>
          <w:numId w:val="2"/>
        </w:numPr>
        <w:spacing w:after="80"/>
        <w:jc w:val="both"/>
      </w:pPr>
      <w:r>
        <w:rPr>
          <w:rFonts w:ascii="Arial" w:eastAsia="Arial" w:hAnsi="Arial" w:cs="Arial"/>
          <w:color w:val="1A1A1A"/>
          <w:sz w:val="22"/>
          <w:szCs w:val="22"/>
        </w:rPr>
        <w:t>A supportive, values-driven team and a detailed, personalised reference for future career development in risk management, governance, compliance, or the charity sector.</w:t>
      </w:r>
    </w:p>
    <w:sectPr w:rsidR="006B20EC">
      <w:pgSz w:w="11906" w:h="16838"/>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CB2F36"/>
    <w:multiLevelType w:val="hybridMultilevel"/>
    <w:tmpl w:val="ED5C905A"/>
    <w:lvl w:ilvl="0" w:tplc="31224BBA">
      <w:start w:val="1"/>
      <w:numFmt w:val="bullet"/>
      <w:lvlText w:val="●"/>
      <w:lvlJc w:val="left"/>
      <w:pPr>
        <w:ind w:left="720" w:hanging="360"/>
      </w:pPr>
    </w:lvl>
    <w:lvl w:ilvl="1" w:tplc="ACCA3732">
      <w:start w:val="1"/>
      <w:numFmt w:val="bullet"/>
      <w:lvlText w:val="○"/>
      <w:lvlJc w:val="left"/>
      <w:pPr>
        <w:ind w:left="1440" w:hanging="360"/>
      </w:pPr>
    </w:lvl>
    <w:lvl w:ilvl="2" w:tplc="F67C9414">
      <w:start w:val="1"/>
      <w:numFmt w:val="bullet"/>
      <w:lvlText w:val="■"/>
      <w:lvlJc w:val="left"/>
      <w:pPr>
        <w:ind w:left="2160" w:hanging="360"/>
      </w:pPr>
    </w:lvl>
    <w:lvl w:ilvl="3" w:tplc="48B244C2">
      <w:start w:val="1"/>
      <w:numFmt w:val="bullet"/>
      <w:lvlText w:val="●"/>
      <w:lvlJc w:val="left"/>
      <w:pPr>
        <w:ind w:left="2880" w:hanging="360"/>
      </w:pPr>
    </w:lvl>
    <w:lvl w:ilvl="4" w:tplc="4D44A1BC">
      <w:start w:val="1"/>
      <w:numFmt w:val="bullet"/>
      <w:lvlText w:val="○"/>
      <w:lvlJc w:val="left"/>
      <w:pPr>
        <w:ind w:left="3600" w:hanging="360"/>
      </w:pPr>
    </w:lvl>
    <w:lvl w:ilvl="5" w:tplc="4322D128">
      <w:start w:val="1"/>
      <w:numFmt w:val="bullet"/>
      <w:lvlText w:val="■"/>
      <w:lvlJc w:val="left"/>
      <w:pPr>
        <w:ind w:left="4320" w:hanging="360"/>
      </w:pPr>
    </w:lvl>
    <w:lvl w:ilvl="6" w:tplc="9A566F70">
      <w:start w:val="1"/>
      <w:numFmt w:val="bullet"/>
      <w:lvlText w:val="●"/>
      <w:lvlJc w:val="left"/>
      <w:pPr>
        <w:ind w:left="5040" w:hanging="360"/>
      </w:pPr>
    </w:lvl>
    <w:lvl w:ilvl="7" w:tplc="76E22802">
      <w:start w:val="1"/>
      <w:numFmt w:val="bullet"/>
      <w:lvlText w:val="●"/>
      <w:lvlJc w:val="left"/>
      <w:pPr>
        <w:ind w:left="5760" w:hanging="360"/>
      </w:pPr>
    </w:lvl>
    <w:lvl w:ilvl="8" w:tplc="4E14EEBA">
      <w:start w:val="1"/>
      <w:numFmt w:val="bullet"/>
      <w:lvlText w:val="●"/>
      <w:lvlJc w:val="left"/>
      <w:pPr>
        <w:ind w:left="6480" w:hanging="360"/>
      </w:pPr>
    </w:lvl>
  </w:abstractNum>
  <w:abstractNum w:abstractNumId="1" w15:restartNumberingAfterBreak="0">
    <w:nsid w:val="584222E6"/>
    <w:multiLevelType w:val="hybridMultilevel"/>
    <w:tmpl w:val="FFA633BE"/>
    <w:lvl w:ilvl="0" w:tplc="89A857F4">
      <w:start w:val="1"/>
      <w:numFmt w:val="bullet"/>
      <w:lvlText w:val="•"/>
      <w:lvlJc w:val="left"/>
      <w:pPr>
        <w:ind w:left="720" w:hanging="360"/>
      </w:pPr>
    </w:lvl>
    <w:lvl w:ilvl="1" w:tplc="AA3EB8BA">
      <w:numFmt w:val="decimal"/>
      <w:lvlText w:val=""/>
      <w:lvlJc w:val="left"/>
    </w:lvl>
    <w:lvl w:ilvl="2" w:tplc="4B3A60A2">
      <w:numFmt w:val="decimal"/>
      <w:lvlText w:val=""/>
      <w:lvlJc w:val="left"/>
    </w:lvl>
    <w:lvl w:ilvl="3" w:tplc="96C6D804">
      <w:numFmt w:val="decimal"/>
      <w:lvlText w:val=""/>
      <w:lvlJc w:val="left"/>
    </w:lvl>
    <w:lvl w:ilvl="4" w:tplc="D35ABA38">
      <w:numFmt w:val="decimal"/>
      <w:lvlText w:val=""/>
      <w:lvlJc w:val="left"/>
    </w:lvl>
    <w:lvl w:ilvl="5" w:tplc="8B18C0D8">
      <w:numFmt w:val="decimal"/>
      <w:lvlText w:val=""/>
      <w:lvlJc w:val="left"/>
    </w:lvl>
    <w:lvl w:ilvl="6" w:tplc="C51C5954">
      <w:numFmt w:val="decimal"/>
      <w:lvlText w:val=""/>
      <w:lvlJc w:val="left"/>
    </w:lvl>
    <w:lvl w:ilvl="7" w:tplc="771C0918">
      <w:numFmt w:val="decimal"/>
      <w:lvlText w:val=""/>
      <w:lvlJc w:val="left"/>
    </w:lvl>
    <w:lvl w:ilvl="8" w:tplc="1DD61CD6">
      <w:numFmt w:val="decimal"/>
      <w:lvlText w:val=""/>
      <w:lvlJc w:val="left"/>
    </w:lvl>
  </w:abstractNum>
  <w:num w:numId="1" w16cid:durableId="1992251577">
    <w:abstractNumId w:val="0"/>
    <w:lvlOverride w:ilvl="0">
      <w:startOverride w:val="1"/>
    </w:lvlOverride>
  </w:num>
  <w:num w:numId="2" w16cid:durableId="126584288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0EC"/>
    <w:rsid w:val="0048093C"/>
    <w:rsid w:val="006B20EC"/>
    <w:rsid w:val="00F61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434D9"/>
  <w15:docId w15:val="{89E4D4C4-4125-4FD5-8B42-00BB20A40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1387</Words>
  <Characters>7909</Characters>
  <Application>Microsoft Office Word</Application>
  <DocSecurity>0</DocSecurity>
  <Lines>65</Lines>
  <Paragraphs>18</Paragraphs>
  <ScaleCrop>false</ScaleCrop>
  <Company/>
  <LinksUpToDate>false</LinksUpToDate>
  <CharactersWithSpaces>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Alpha Pesanai</cp:lastModifiedBy>
  <cp:revision>2</cp:revision>
  <dcterms:created xsi:type="dcterms:W3CDTF">2026-06-01T20:58:00Z</dcterms:created>
  <dcterms:modified xsi:type="dcterms:W3CDTF">2026-06-01T20:58:00Z</dcterms:modified>
</cp:coreProperties>
</file>